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673A" w14:textId="77777777" w:rsidR="00B21656" w:rsidRDefault="00B21656" w:rsidP="00B21656">
      <w:pPr>
        <w:rPr>
          <w:b/>
        </w:rPr>
      </w:pPr>
    </w:p>
    <w:p w14:paraId="7203C5E1" w14:textId="77777777" w:rsidR="00B21656" w:rsidRPr="009C502F" w:rsidRDefault="00B21656" w:rsidP="00B21656">
      <w:pPr>
        <w:rPr>
          <w:rFonts w:ascii="Arial" w:hAnsi="Arial" w:cs="Arial"/>
        </w:rPr>
      </w:pPr>
    </w:p>
    <w:p w14:paraId="15CB3038" w14:textId="77777777" w:rsidR="00B21656" w:rsidRPr="009C502F" w:rsidRDefault="00B21656" w:rsidP="00B21656">
      <w:pPr>
        <w:rPr>
          <w:rFonts w:ascii="Arial" w:hAnsi="Arial" w:cs="Arial"/>
        </w:rPr>
      </w:pPr>
    </w:p>
    <w:p w14:paraId="2F0581FA" w14:textId="7EDDDD80" w:rsidR="00B21656" w:rsidRPr="009C502F" w:rsidRDefault="00BA04D2" w:rsidP="00B21656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Ympäristö ja rakennuslautakunnan alaisten tuloalueiden vastuuhenkilöiden hankintavaltuudet</w:t>
      </w:r>
    </w:p>
    <w:p w14:paraId="01581F0D" w14:textId="77777777" w:rsidR="00B21656" w:rsidRPr="009C502F" w:rsidRDefault="00B21656" w:rsidP="00B21656">
      <w:pPr>
        <w:rPr>
          <w:rFonts w:ascii="Arial" w:hAnsi="Arial" w:cs="Arial"/>
        </w:rPr>
      </w:pPr>
    </w:p>
    <w:p w14:paraId="2CABF749" w14:textId="77777777" w:rsidR="00B21656" w:rsidRPr="00776B11" w:rsidRDefault="00BA04D2" w:rsidP="00B21656">
      <w:pPr>
        <w:ind w:left="1304"/>
        <w:rPr>
          <w:rFonts w:ascii="Arial" w:hAnsi="Arial" w:cs="Arial"/>
          <w:sz w:val="22"/>
          <w:szCs w:val="22"/>
        </w:rPr>
      </w:pPr>
      <w:r w:rsidRPr="00776B11">
        <w:rPr>
          <w:rFonts w:ascii="Arial" w:hAnsi="Arial" w:cs="Arial"/>
          <w:sz w:val="22"/>
          <w:szCs w:val="22"/>
        </w:rPr>
        <w:t xml:space="preserve">Kaupunginvaltuuston hyväksymän hallintosäännön 26.6 §:n perusteella lautakunta päättää euromääräiset rajat, joiden mukaisesti tulosalueiden </w:t>
      </w:r>
      <w:r w:rsidRPr="00776B11">
        <w:rPr>
          <w:rFonts w:ascii="Arial" w:hAnsi="Arial" w:cs="Arial"/>
          <w:sz w:val="22"/>
          <w:szCs w:val="22"/>
        </w:rPr>
        <w:t>vastuuhenkilöt voivat hankinnoista päättää seuraavasti:</w:t>
      </w:r>
    </w:p>
    <w:p w14:paraId="5C3A82E3" w14:textId="77777777" w:rsidR="00B21656" w:rsidRDefault="00B21656" w:rsidP="00B21656">
      <w:pPr>
        <w:pStyle w:val="Sisennysx2"/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  <w:tab w:val="clear" w:pos="12474"/>
        </w:tabs>
        <w:ind w:left="2608"/>
        <w:rPr>
          <w:rFonts w:ascii="Arial" w:hAnsi="Arial" w:cs="Arial"/>
          <w:sz w:val="22"/>
        </w:rPr>
      </w:pPr>
    </w:p>
    <w:tbl>
      <w:tblPr>
        <w:tblW w:w="0" w:type="auto"/>
        <w:tblInd w:w="1304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480"/>
        <w:gridCol w:w="4915"/>
        <w:gridCol w:w="1948"/>
      </w:tblGrid>
      <w:tr w:rsidR="00BF6327" w14:paraId="1FE9A682" w14:textId="77777777" w:rsidTr="00952AD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BBC1BDD" w14:textId="77777777" w:rsidR="00B21656" w:rsidRPr="0039690D" w:rsidRDefault="00BA04D2" w:rsidP="006F276D">
            <w:pPr>
              <w:pStyle w:val="Sisennys"/>
              <w:tabs>
                <w:tab w:val="left" w:pos="1247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39690D">
              <w:rPr>
                <w:rFonts w:ascii="Arial" w:hAnsi="Arial" w:cs="Arial"/>
                <w:sz w:val="22"/>
                <w:szCs w:val="22"/>
              </w:rPr>
              <w:t>A.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14:paraId="0A85C3E8" w14:textId="77777777" w:rsidR="00B21656" w:rsidRDefault="00BA04D2" w:rsidP="006F276D">
            <w:pPr>
              <w:pStyle w:val="Sisennys"/>
              <w:tabs>
                <w:tab w:val="left" w:pos="1247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tekninen</w:t>
            </w:r>
            <w:r w:rsidRPr="0039690D">
              <w:rPr>
                <w:rFonts w:ascii="Arial" w:hAnsi="Arial" w:cs="Arial"/>
                <w:sz w:val="22"/>
                <w:szCs w:val="22"/>
              </w:rPr>
              <w:t xml:space="preserve"> joh</w:t>
            </w:r>
            <w:r>
              <w:rPr>
                <w:rFonts w:ascii="Arial" w:hAnsi="Arial" w:cs="Arial"/>
                <w:sz w:val="22"/>
                <w:szCs w:val="22"/>
              </w:rPr>
              <w:t xml:space="preserve">taja kaikkien teknisten palveluiden </w:t>
            </w:r>
          </w:p>
          <w:p w14:paraId="48B94DDC" w14:textId="77777777" w:rsidR="00B21656" w:rsidRPr="0039690D" w:rsidRDefault="00BA04D2" w:rsidP="006F276D">
            <w:pPr>
              <w:pStyle w:val="Sisennys"/>
              <w:tabs>
                <w:tab w:val="left" w:pos="1247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tulosyksikköjen</w:t>
            </w:r>
            <w:r w:rsidRPr="0039690D">
              <w:rPr>
                <w:rFonts w:ascii="Arial" w:hAnsi="Arial" w:cs="Arial"/>
                <w:sz w:val="22"/>
                <w:szCs w:val="22"/>
              </w:rPr>
              <w:t xml:space="preserve"> osalta 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CBBB4" w14:textId="72A4DB46" w:rsidR="00B21656" w:rsidRPr="0039690D" w:rsidRDefault="00BA04D2" w:rsidP="00952AD3">
            <w:pPr>
              <w:pStyle w:val="Sisennys"/>
              <w:tabs>
                <w:tab w:val="left" w:pos="1247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507D91">
              <w:rPr>
                <w:rFonts w:ascii="Arial" w:hAnsi="Arial" w:cs="Arial"/>
                <w:sz w:val="22"/>
                <w:szCs w:val="22"/>
              </w:rPr>
              <w:t>60</w:t>
            </w:r>
            <w:r w:rsidR="00507D91">
              <w:rPr>
                <w:rFonts w:ascii="Arial" w:hAnsi="Arial" w:cs="Arial"/>
                <w:sz w:val="22"/>
                <w:szCs w:val="22"/>
              </w:rPr>
              <w:t> </w:t>
            </w:r>
            <w:r w:rsidRPr="00507D91">
              <w:rPr>
                <w:rFonts w:ascii="Arial" w:hAnsi="Arial" w:cs="Arial"/>
                <w:sz w:val="22"/>
                <w:szCs w:val="22"/>
              </w:rPr>
              <w:t>000</w:t>
            </w:r>
            <w:r w:rsidR="00507D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7D91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BF6327" w14:paraId="13BA5757" w14:textId="77777777" w:rsidTr="00952AD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1A592F4" w14:textId="77777777" w:rsidR="00B21656" w:rsidRPr="0039690D" w:rsidRDefault="00BA04D2" w:rsidP="006F276D">
            <w:pPr>
              <w:pStyle w:val="Sisennys"/>
              <w:tabs>
                <w:tab w:val="left" w:pos="1247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39690D">
              <w:rPr>
                <w:rFonts w:ascii="Arial" w:hAnsi="Arial" w:cs="Arial"/>
                <w:sz w:val="22"/>
                <w:szCs w:val="22"/>
              </w:rPr>
              <w:t>B.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14:paraId="280390A8" w14:textId="77777777" w:rsidR="00B21656" w:rsidRPr="0039690D" w:rsidRDefault="00BA04D2" w:rsidP="006F276D">
            <w:pPr>
              <w:pStyle w:val="Sisennys"/>
              <w:tabs>
                <w:tab w:val="left" w:pos="1247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Tulosaluepäälliköt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133BB" w14:textId="77777777" w:rsidR="00B21656" w:rsidRDefault="00BA04D2" w:rsidP="00952AD3">
            <w:pPr>
              <w:pStyle w:val="Sisennys"/>
              <w:tabs>
                <w:tab w:val="left" w:pos="1247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30 000 €</w:t>
            </w:r>
          </w:p>
        </w:tc>
      </w:tr>
      <w:tr w:rsidR="00BF6327" w14:paraId="31317234" w14:textId="77777777" w:rsidTr="00952AD3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EB5663D" w14:textId="77777777" w:rsidR="00B21656" w:rsidRPr="0039690D" w:rsidRDefault="00BA04D2" w:rsidP="006F276D">
            <w:pPr>
              <w:pStyle w:val="Sisennys"/>
              <w:tabs>
                <w:tab w:val="left" w:pos="1247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39690D">
              <w:rPr>
                <w:rFonts w:ascii="Arial" w:hAnsi="Arial" w:cs="Arial"/>
                <w:sz w:val="22"/>
                <w:szCs w:val="22"/>
              </w:rPr>
              <w:t>C.</w:t>
            </w:r>
          </w:p>
        </w:tc>
        <w:tc>
          <w:tcPr>
            <w:tcW w:w="4915" w:type="dxa"/>
            <w:tcBorders>
              <w:top w:val="nil"/>
              <w:left w:val="nil"/>
              <w:bottom w:val="nil"/>
              <w:right w:val="nil"/>
            </w:tcBorders>
          </w:tcPr>
          <w:p w14:paraId="402036DC" w14:textId="77777777" w:rsidR="00B21656" w:rsidRPr="0039690D" w:rsidRDefault="00BA04D2" w:rsidP="006F276D">
            <w:pPr>
              <w:pStyle w:val="Sisennys"/>
              <w:tabs>
                <w:tab w:val="left" w:pos="1247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Toimintayksiköiden esimiehet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563C6" w14:textId="77777777" w:rsidR="00B21656" w:rsidRDefault="00BA04D2" w:rsidP="00952AD3">
            <w:pPr>
              <w:pStyle w:val="Sisennys"/>
              <w:tabs>
                <w:tab w:val="left" w:pos="12474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10 000 €</w:t>
            </w:r>
          </w:p>
        </w:tc>
      </w:tr>
    </w:tbl>
    <w:p w14:paraId="50F71579" w14:textId="77777777" w:rsidR="00B21656" w:rsidRDefault="00B21656" w:rsidP="00B21656">
      <w:pPr>
        <w:pStyle w:val="Sisennys"/>
        <w:tabs>
          <w:tab w:val="left" w:pos="12474"/>
        </w:tabs>
        <w:ind w:left="3912"/>
      </w:pPr>
    </w:p>
    <w:p w14:paraId="53E63EAC" w14:textId="1C22ECCC" w:rsidR="00D85F33" w:rsidRPr="00507D91" w:rsidRDefault="00BA04D2" w:rsidP="00B21656">
      <w:pPr>
        <w:pStyle w:val="Sisennys"/>
        <w:tabs>
          <w:tab w:val="left" w:pos="12474"/>
        </w:tabs>
        <w:ind w:left="1304"/>
        <w:rPr>
          <w:rFonts w:ascii="Arial" w:hAnsi="Arial" w:cs="Arial"/>
          <w:sz w:val="22"/>
        </w:rPr>
      </w:pPr>
      <w:r w:rsidRPr="00507D91">
        <w:rPr>
          <w:rFonts w:ascii="Arial" w:hAnsi="Arial" w:cs="Arial"/>
          <w:sz w:val="22"/>
        </w:rPr>
        <w:t>vanha 2017</w:t>
      </w:r>
    </w:p>
    <w:p w14:paraId="31FFA1F8" w14:textId="7915C9A9" w:rsidR="00B21656" w:rsidRDefault="00BA04D2" w:rsidP="00B21656">
      <w:pPr>
        <w:pStyle w:val="Sisennys"/>
        <w:tabs>
          <w:tab w:val="left" w:pos="12474"/>
        </w:tabs>
        <w:ind w:left="1304"/>
        <w:rPr>
          <w:rFonts w:ascii="Arial" w:hAnsi="Arial" w:cs="Arial"/>
          <w:sz w:val="22"/>
        </w:rPr>
      </w:pPr>
      <w:r w:rsidRPr="00680F7A">
        <w:rPr>
          <w:rFonts w:ascii="Arial" w:hAnsi="Arial" w:cs="Arial"/>
          <w:sz w:val="22"/>
        </w:rPr>
        <w:t xml:space="preserve">Hankintoja </w:t>
      </w:r>
      <w:r w:rsidRPr="00680F7A">
        <w:rPr>
          <w:rFonts w:ascii="Arial" w:hAnsi="Arial" w:cs="Arial"/>
          <w:sz w:val="22"/>
        </w:rPr>
        <w:t>suoritettaessa on noudatettava julkisista hankinnoista annettua lainsäädäntöä sekä kaupungin ohjeistusta. Naantalin kaupungin hankintaohjeiden (1.12.2013) liitteessä suorahankinna</w:t>
      </w:r>
      <w:r>
        <w:rPr>
          <w:rFonts w:ascii="Arial" w:hAnsi="Arial" w:cs="Arial"/>
          <w:sz w:val="22"/>
        </w:rPr>
        <w:t>n rajaksi on vahvistettu 2 000 euroa</w:t>
      </w:r>
      <w:r w:rsidRPr="00680F7A">
        <w:rPr>
          <w:rFonts w:ascii="Arial" w:hAnsi="Arial" w:cs="Arial"/>
          <w:sz w:val="22"/>
        </w:rPr>
        <w:t>. Hankinnasta, jota on edeltänyt kirjallinen tarjouskilpailu, tekee päätöksen hankintavaltuudet omaava päätöspöytäkirjalla</w:t>
      </w:r>
    </w:p>
    <w:p w14:paraId="652DA1D2" w14:textId="42FF2413" w:rsidR="00D85F33" w:rsidRDefault="00D85F33" w:rsidP="00B21656">
      <w:pPr>
        <w:pStyle w:val="Sisennys"/>
        <w:tabs>
          <w:tab w:val="left" w:pos="12474"/>
        </w:tabs>
        <w:ind w:left="1304"/>
        <w:rPr>
          <w:rFonts w:ascii="Arial" w:hAnsi="Arial" w:cs="Arial"/>
          <w:sz w:val="22"/>
        </w:rPr>
      </w:pPr>
    </w:p>
    <w:p w14:paraId="5117D3B4" w14:textId="7B86865C" w:rsidR="00D85F33" w:rsidRPr="00507D91" w:rsidRDefault="00BA04D2" w:rsidP="00B21656">
      <w:pPr>
        <w:pStyle w:val="Sisennys"/>
        <w:tabs>
          <w:tab w:val="left" w:pos="12474"/>
        </w:tabs>
        <w:ind w:left="1304"/>
        <w:rPr>
          <w:rFonts w:ascii="Arial" w:hAnsi="Arial" w:cs="Arial"/>
          <w:sz w:val="22"/>
        </w:rPr>
      </w:pPr>
      <w:r w:rsidRPr="00507D91">
        <w:rPr>
          <w:rFonts w:ascii="Arial" w:hAnsi="Arial" w:cs="Arial"/>
          <w:sz w:val="22"/>
        </w:rPr>
        <w:t>uusi 2021</w:t>
      </w:r>
    </w:p>
    <w:p w14:paraId="6362DFB5" w14:textId="730AC90D" w:rsidR="00D85F33" w:rsidRPr="00D85F33" w:rsidRDefault="00BA04D2" w:rsidP="00D85F33">
      <w:pPr>
        <w:pStyle w:val="Sisennys"/>
        <w:tabs>
          <w:tab w:val="left" w:pos="12474"/>
        </w:tabs>
        <w:ind w:left="1304"/>
        <w:rPr>
          <w:rFonts w:ascii="Arial" w:hAnsi="Arial" w:cs="Arial"/>
          <w:sz w:val="22"/>
        </w:rPr>
      </w:pPr>
      <w:r w:rsidRPr="00D85F33">
        <w:rPr>
          <w:rFonts w:ascii="Arial" w:hAnsi="Arial" w:cs="Arial"/>
          <w:sz w:val="22"/>
        </w:rPr>
        <w:t xml:space="preserve">Hankintoja suoritettaessa on noudatettava julkisista hankinnoista annettua lainsäädäntöä sekä kaupungin ohjeistusta. Naantalin kaupungin hankinnan </w:t>
      </w:r>
      <w:r w:rsidRPr="00D85F33">
        <w:rPr>
          <w:rFonts w:ascii="Arial" w:hAnsi="Arial" w:cs="Arial"/>
          <w:sz w:val="22"/>
        </w:rPr>
        <w:t>kynnysarvoon liittyvä</w:t>
      </w:r>
      <w:r w:rsidR="001A7734">
        <w:rPr>
          <w:rFonts w:ascii="Arial" w:hAnsi="Arial" w:cs="Arial"/>
          <w:sz w:val="22"/>
        </w:rPr>
        <w:t>ssä</w:t>
      </w:r>
      <w:r w:rsidRPr="00D85F33">
        <w:rPr>
          <w:rFonts w:ascii="Arial" w:hAnsi="Arial" w:cs="Arial"/>
          <w:sz w:val="22"/>
        </w:rPr>
        <w:t xml:space="preserve"> menettelyta</w:t>
      </w:r>
      <w:r w:rsidR="001A7734">
        <w:rPr>
          <w:rFonts w:ascii="Arial" w:hAnsi="Arial" w:cs="Arial"/>
          <w:sz w:val="22"/>
        </w:rPr>
        <w:t>pa</w:t>
      </w:r>
      <w:r w:rsidRPr="00D85F33">
        <w:rPr>
          <w:rFonts w:ascii="Arial" w:hAnsi="Arial" w:cs="Arial"/>
          <w:sz w:val="22"/>
        </w:rPr>
        <w:t>ohjeessa (kaupunginjohtaja 87/2019 27.11.2019) suorahankinnan rajaksi on vahvistettu 5 000 euroa. Hankinnasta, jota on edeltänyt kirjallinen tarjouskilpailu, tekee päätöksen hankintavaltuudet omaava päätöspöytäkirjalla.</w:t>
      </w:r>
    </w:p>
    <w:p w14:paraId="4EF68BED" w14:textId="77777777" w:rsidR="00D85F33" w:rsidRDefault="00D85F33" w:rsidP="00B21656">
      <w:pPr>
        <w:pStyle w:val="Sisennys"/>
        <w:tabs>
          <w:tab w:val="left" w:pos="12474"/>
        </w:tabs>
        <w:ind w:left="1304"/>
      </w:pPr>
    </w:p>
    <w:p w14:paraId="36F566DC" w14:textId="77777777" w:rsidR="00B21656" w:rsidRDefault="00B21656" w:rsidP="00B21656">
      <w:pPr>
        <w:pStyle w:val="Sisennysx2"/>
        <w:ind w:left="0"/>
      </w:pPr>
    </w:p>
    <w:p w14:paraId="7F77CF7F" w14:textId="77777777" w:rsidR="00B21656" w:rsidRPr="0039690D" w:rsidRDefault="00BA04D2" w:rsidP="00B21656">
      <w:pPr>
        <w:pStyle w:val="Sisennysx2"/>
        <w:numPr>
          <w:ilvl w:val="0"/>
          <w:numId w:val="1"/>
        </w:numPr>
        <w:tabs>
          <w:tab w:val="clear" w:pos="1304"/>
          <w:tab w:val="clear" w:pos="2608"/>
          <w:tab w:val="clear" w:pos="3912"/>
          <w:tab w:val="clear" w:pos="5216"/>
          <w:tab w:val="clear" w:pos="6520"/>
          <w:tab w:val="clear" w:pos="7824"/>
          <w:tab w:val="clear" w:pos="9128"/>
          <w:tab w:val="clear" w:pos="12474"/>
        </w:tabs>
        <w:rPr>
          <w:rFonts w:ascii="Arial" w:hAnsi="Arial" w:cs="Arial"/>
          <w:b/>
          <w:sz w:val="22"/>
          <w:szCs w:val="22"/>
        </w:rPr>
      </w:pPr>
      <w:r w:rsidRPr="0039690D">
        <w:rPr>
          <w:rFonts w:ascii="Arial" w:hAnsi="Arial" w:cs="Arial"/>
          <w:b/>
          <w:sz w:val="22"/>
          <w:szCs w:val="22"/>
        </w:rPr>
        <w:t>Vahingonkorvauksista päättäminen</w:t>
      </w:r>
      <w:r>
        <w:rPr>
          <w:rFonts w:ascii="Arial" w:hAnsi="Arial" w:cs="Arial"/>
          <w:b/>
          <w:sz w:val="22"/>
          <w:szCs w:val="22"/>
        </w:rPr>
        <w:t xml:space="preserve"> hallintosäännön 26.2 §</w:t>
      </w:r>
      <w:r w:rsidRPr="0039690D">
        <w:rPr>
          <w:rFonts w:ascii="Arial" w:hAnsi="Arial" w:cs="Arial"/>
          <w:b/>
          <w:sz w:val="22"/>
          <w:szCs w:val="22"/>
        </w:rPr>
        <w:t xml:space="preserve"> kohdan mukaisesti</w:t>
      </w:r>
    </w:p>
    <w:p w14:paraId="32604994" w14:textId="77777777" w:rsidR="00B21656" w:rsidRDefault="00B21656" w:rsidP="00B21656">
      <w:pPr>
        <w:pStyle w:val="Sisennysx2"/>
        <w:tabs>
          <w:tab w:val="clear" w:pos="1304"/>
          <w:tab w:val="left" w:pos="709"/>
        </w:tabs>
        <w:ind w:left="720"/>
        <w:rPr>
          <w:rFonts w:ascii="Arial" w:hAnsi="Arial" w:cs="Arial"/>
          <w:sz w:val="22"/>
          <w:szCs w:val="22"/>
        </w:rPr>
      </w:pPr>
    </w:p>
    <w:p w14:paraId="65BB4117" w14:textId="5BBCFE3F" w:rsidR="0028427E" w:rsidRDefault="0028427E" w:rsidP="00B21656">
      <w:pPr>
        <w:pStyle w:val="Sisennysx2"/>
        <w:tabs>
          <w:tab w:val="clear" w:pos="1304"/>
          <w:tab w:val="left" w:pos="709"/>
        </w:tabs>
        <w:ind w:left="1304"/>
        <w:rPr>
          <w:rFonts w:ascii="Arial" w:hAnsi="Arial" w:cs="Arial"/>
          <w:sz w:val="22"/>
          <w:szCs w:val="22"/>
        </w:rPr>
      </w:pPr>
    </w:p>
    <w:p w14:paraId="4FD3BB3E" w14:textId="77777777" w:rsidR="00B81872" w:rsidRPr="00B81872" w:rsidRDefault="00BA04D2" w:rsidP="00B81872">
      <w:pPr>
        <w:pStyle w:val="Sisennysx2"/>
        <w:tabs>
          <w:tab w:val="clear" w:pos="1304"/>
          <w:tab w:val="left" w:pos="709"/>
        </w:tabs>
        <w:ind w:left="1304"/>
        <w:rPr>
          <w:rFonts w:ascii="Arial" w:hAnsi="Arial" w:cs="Arial"/>
          <w:sz w:val="22"/>
          <w:szCs w:val="22"/>
        </w:rPr>
      </w:pPr>
      <w:r w:rsidRPr="00B81872">
        <w:rPr>
          <w:rFonts w:ascii="Arial" w:hAnsi="Arial" w:cs="Arial"/>
          <w:sz w:val="22"/>
          <w:szCs w:val="22"/>
        </w:rPr>
        <w:t xml:space="preserve">Vahingonkorvauksen myöntämisestä niiltä osin, joissa kaupunki on korvausvelvollinen tai joissa se voidaan katsoa korvausvelvolliseksi, milloin vaadittu korvausmäärä on </w:t>
      </w:r>
      <w:r w:rsidRPr="00B81872">
        <w:rPr>
          <w:rFonts w:ascii="Arial" w:hAnsi="Arial" w:cs="Arial"/>
          <w:sz w:val="22"/>
          <w:szCs w:val="22"/>
        </w:rPr>
        <w:t>enintään 1000 euroa taikka epääminen tapauksissa, kun kaupunkiin on kohdistettu perusteettomaksi katsottava korvausvaatimus, voidaan päättää teknisen johtajan toimesta.</w:t>
      </w:r>
    </w:p>
    <w:p w14:paraId="5FDD74CD" w14:textId="77777777" w:rsidR="00B81872" w:rsidRDefault="00B81872" w:rsidP="00B81872">
      <w:pPr>
        <w:pStyle w:val="Sisennysx2"/>
        <w:tabs>
          <w:tab w:val="clear" w:pos="1304"/>
          <w:tab w:val="left" w:pos="709"/>
        </w:tabs>
        <w:ind w:left="1304"/>
        <w:rPr>
          <w:rFonts w:ascii="Arial" w:hAnsi="Arial" w:cs="Arial"/>
          <w:sz w:val="22"/>
          <w:szCs w:val="22"/>
        </w:rPr>
      </w:pPr>
    </w:p>
    <w:p w14:paraId="08C31337" w14:textId="4BE9AE00" w:rsidR="00B81872" w:rsidRDefault="00BA04D2" w:rsidP="00B81872">
      <w:pPr>
        <w:pStyle w:val="Sisennysx2"/>
        <w:tabs>
          <w:tab w:val="clear" w:pos="1304"/>
          <w:tab w:val="left" w:pos="709"/>
        </w:tabs>
        <w:ind w:left="1304"/>
        <w:rPr>
          <w:rFonts w:ascii="Arial" w:hAnsi="Arial" w:cs="Arial"/>
          <w:sz w:val="22"/>
          <w:szCs w:val="22"/>
        </w:rPr>
      </w:pPr>
      <w:r w:rsidRPr="00B81872">
        <w:rPr>
          <w:rFonts w:ascii="Arial" w:hAnsi="Arial" w:cs="Arial"/>
          <w:sz w:val="22"/>
          <w:szCs w:val="22"/>
        </w:rPr>
        <w:t>Edellä mainitut teknisen johtajan päätökset tuodaan seuraavaan lautakunnan kokoukseen tiedoksi ilmoitusasioiden käsittelyn yhteydessä.</w:t>
      </w:r>
    </w:p>
    <w:p w14:paraId="5EC51D2D" w14:textId="4AFD25C2" w:rsidR="00B81872" w:rsidRDefault="00B81872" w:rsidP="00B81872">
      <w:pPr>
        <w:pStyle w:val="Sisennysx2"/>
        <w:tabs>
          <w:tab w:val="clear" w:pos="1304"/>
          <w:tab w:val="left" w:pos="709"/>
        </w:tabs>
        <w:ind w:left="1304"/>
        <w:rPr>
          <w:rFonts w:ascii="Arial" w:hAnsi="Arial" w:cs="Arial"/>
          <w:sz w:val="22"/>
          <w:szCs w:val="22"/>
        </w:rPr>
      </w:pPr>
    </w:p>
    <w:p w14:paraId="25D0EA0A" w14:textId="77777777" w:rsidR="00B21656" w:rsidRDefault="00B21656" w:rsidP="00B21656">
      <w:pPr>
        <w:rPr>
          <w:b/>
        </w:rPr>
      </w:pPr>
    </w:p>
    <w:p w14:paraId="5AAF4824" w14:textId="77777777" w:rsidR="00B21656" w:rsidRDefault="00B21656" w:rsidP="00B21656"/>
    <w:p w14:paraId="1BD18A2A" w14:textId="77777777" w:rsidR="00CA2F7B" w:rsidRDefault="00CA2F7B"/>
    <w:sectPr w:rsidR="00CA2F7B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8EC3" w14:textId="77777777" w:rsidR="00BA04D2" w:rsidRDefault="00BA04D2">
      <w:r>
        <w:separator/>
      </w:r>
    </w:p>
  </w:endnote>
  <w:endnote w:type="continuationSeparator" w:id="0">
    <w:p w14:paraId="045D7F29" w14:textId="77777777" w:rsidR="00BA04D2" w:rsidRDefault="00BA0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06AB5" w14:textId="77777777" w:rsidR="00BA04D2" w:rsidRDefault="00BA04D2">
      <w:r>
        <w:separator/>
      </w:r>
    </w:p>
  </w:footnote>
  <w:footnote w:type="continuationSeparator" w:id="0">
    <w:p w14:paraId="4F42E975" w14:textId="77777777" w:rsidR="00BA04D2" w:rsidRDefault="00BA0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6400" w14:textId="1BB62EAA" w:rsidR="0039690D" w:rsidRDefault="00BA04D2" w:rsidP="00551F4D">
    <w:pPr>
      <w:pStyle w:val="Yltunniste"/>
      <w:ind w:left="6135" w:hanging="6135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Naantalin kaupunki</w:t>
    </w:r>
    <w:r>
      <w:rPr>
        <w:rFonts w:ascii="Arial" w:hAnsi="Arial" w:cs="Arial"/>
        <w:sz w:val="22"/>
        <w:szCs w:val="22"/>
      </w:rPr>
      <w:tab/>
    </w:r>
    <w:r w:rsidR="00551F4D">
      <w:rPr>
        <w:rFonts w:ascii="Arial" w:hAnsi="Arial" w:cs="Arial"/>
        <w:sz w:val="22"/>
        <w:szCs w:val="22"/>
      </w:rPr>
      <w:tab/>
      <w:t>Ympäristö- ja rakennus</w:t>
    </w:r>
    <w:r>
      <w:rPr>
        <w:rFonts w:ascii="Arial" w:hAnsi="Arial" w:cs="Arial"/>
        <w:sz w:val="22"/>
        <w:szCs w:val="22"/>
      </w:rPr>
      <w:t xml:space="preserve"> lautakunnan toimintasääntö</w:t>
    </w:r>
  </w:p>
  <w:p w14:paraId="795BFC15" w14:textId="77777777" w:rsidR="0039690D" w:rsidRDefault="0039690D">
    <w:pPr>
      <w:pStyle w:val="Yltunniste"/>
      <w:rPr>
        <w:rFonts w:ascii="Arial" w:hAnsi="Arial" w:cs="Arial"/>
        <w:sz w:val="22"/>
        <w:szCs w:val="22"/>
      </w:rPr>
    </w:pPr>
  </w:p>
  <w:p w14:paraId="58E2B8A6" w14:textId="3DFF3E97" w:rsidR="0039690D" w:rsidRPr="0039690D" w:rsidRDefault="00BA04D2" w:rsidP="00776B11">
    <w:pPr>
      <w:pStyle w:val="Yltunniste"/>
      <w:pBdr>
        <w:bottom w:val="single" w:sz="4" w:space="1" w:color="auto"/>
      </w:pBd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 w:rsidR="00551F4D">
      <w:rPr>
        <w:rFonts w:ascii="Arial" w:hAnsi="Arial" w:cs="Arial"/>
        <w:sz w:val="22"/>
        <w:szCs w:val="22"/>
      </w:rPr>
      <w:tab/>
      <w:t>Ympäristö- ja rakennus</w:t>
    </w:r>
    <w:r>
      <w:rPr>
        <w:rFonts w:ascii="Arial" w:hAnsi="Arial" w:cs="Arial"/>
        <w:sz w:val="22"/>
        <w:szCs w:val="22"/>
      </w:rPr>
      <w:t xml:space="preserve">lautakunta </w:t>
    </w:r>
    <w:r w:rsidR="00551F4D">
      <w:rPr>
        <w:rFonts w:ascii="Arial" w:hAnsi="Arial" w:cs="Arial"/>
        <w:sz w:val="22"/>
        <w:szCs w:val="22"/>
      </w:rPr>
      <w:t>7</w:t>
    </w:r>
    <w:r>
      <w:rPr>
        <w:rFonts w:ascii="Arial" w:hAnsi="Arial" w:cs="Arial"/>
        <w:sz w:val="22"/>
        <w:szCs w:val="22"/>
      </w:rPr>
      <w:t>.</w:t>
    </w:r>
    <w:r w:rsidR="00D85F33">
      <w:rPr>
        <w:rFonts w:ascii="Arial" w:hAnsi="Arial" w:cs="Arial"/>
        <w:sz w:val="22"/>
        <w:szCs w:val="22"/>
      </w:rPr>
      <w:t>9</w:t>
    </w:r>
    <w:r>
      <w:rPr>
        <w:rFonts w:ascii="Arial" w:hAnsi="Arial" w:cs="Arial"/>
        <w:sz w:val="22"/>
        <w:szCs w:val="22"/>
      </w:rPr>
      <w:t>.20</w:t>
    </w:r>
    <w:r w:rsidR="00D85F33">
      <w:rPr>
        <w:rFonts w:ascii="Arial" w:hAnsi="Arial" w:cs="Arial"/>
        <w:sz w:val="22"/>
        <w:szCs w:val="22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23A7F"/>
    <w:multiLevelType w:val="hybridMultilevel"/>
    <w:tmpl w:val="64988960"/>
    <w:lvl w:ilvl="0" w:tplc="16E24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BC0B06" w:tentative="1">
      <w:start w:val="1"/>
      <w:numFmt w:val="lowerLetter"/>
      <w:lvlText w:val="%2."/>
      <w:lvlJc w:val="left"/>
      <w:pPr>
        <w:ind w:left="1440" w:hanging="360"/>
      </w:pPr>
    </w:lvl>
    <w:lvl w:ilvl="2" w:tplc="592A3BEE" w:tentative="1">
      <w:start w:val="1"/>
      <w:numFmt w:val="lowerRoman"/>
      <w:lvlText w:val="%3."/>
      <w:lvlJc w:val="right"/>
      <w:pPr>
        <w:ind w:left="2160" w:hanging="180"/>
      </w:pPr>
    </w:lvl>
    <w:lvl w:ilvl="3" w:tplc="AD1458B4" w:tentative="1">
      <w:start w:val="1"/>
      <w:numFmt w:val="decimal"/>
      <w:lvlText w:val="%4."/>
      <w:lvlJc w:val="left"/>
      <w:pPr>
        <w:ind w:left="2880" w:hanging="360"/>
      </w:pPr>
    </w:lvl>
    <w:lvl w:ilvl="4" w:tplc="7640EE24" w:tentative="1">
      <w:start w:val="1"/>
      <w:numFmt w:val="lowerLetter"/>
      <w:lvlText w:val="%5."/>
      <w:lvlJc w:val="left"/>
      <w:pPr>
        <w:ind w:left="3600" w:hanging="360"/>
      </w:pPr>
    </w:lvl>
    <w:lvl w:ilvl="5" w:tplc="78DC2F3E" w:tentative="1">
      <w:start w:val="1"/>
      <w:numFmt w:val="lowerRoman"/>
      <w:lvlText w:val="%6."/>
      <w:lvlJc w:val="right"/>
      <w:pPr>
        <w:ind w:left="4320" w:hanging="180"/>
      </w:pPr>
    </w:lvl>
    <w:lvl w:ilvl="6" w:tplc="AB94FF10" w:tentative="1">
      <w:start w:val="1"/>
      <w:numFmt w:val="decimal"/>
      <w:lvlText w:val="%7."/>
      <w:lvlJc w:val="left"/>
      <w:pPr>
        <w:ind w:left="5040" w:hanging="360"/>
      </w:pPr>
    </w:lvl>
    <w:lvl w:ilvl="7" w:tplc="C868DD28" w:tentative="1">
      <w:start w:val="1"/>
      <w:numFmt w:val="lowerLetter"/>
      <w:lvlText w:val="%8."/>
      <w:lvlJc w:val="left"/>
      <w:pPr>
        <w:ind w:left="5760" w:hanging="360"/>
      </w:pPr>
    </w:lvl>
    <w:lvl w:ilvl="8" w:tplc="D0609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9574B"/>
    <w:multiLevelType w:val="hybridMultilevel"/>
    <w:tmpl w:val="A1BC5558"/>
    <w:lvl w:ilvl="0" w:tplc="EE247A3A">
      <w:start w:val="1"/>
      <w:numFmt w:val="decimal"/>
      <w:lvlText w:val="%1."/>
      <w:lvlJc w:val="left"/>
      <w:pPr>
        <w:ind w:left="360" w:hanging="360"/>
      </w:pPr>
    </w:lvl>
    <w:lvl w:ilvl="1" w:tplc="7220ACD8" w:tentative="1">
      <w:start w:val="1"/>
      <w:numFmt w:val="lowerLetter"/>
      <w:lvlText w:val="%2."/>
      <w:lvlJc w:val="left"/>
      <w:pPr>
        <w:ind w:left="1080" w:hanging="360"/>
      </w:pPr>
    </w:lvl>
    <w:lvl w:ilvl="2" w:tplc="7B5C1B0A" w:tentative="1">
      <w:start w:val="1"/>
      <w:numFmt w:val="lowerRoman"/>
      <w:lvlText w:val="%3."/>
      <w:lvlJc w:val="right"/>
      <w:pPr>
        <w:ind w:left="1800" w:hanging="180"/>
      </w:pPr>
    </w:lvl>
    <w:lvl w:ilvl="3" w:tplc="D4A65CC6" w:tentative="1">
      <w:start w:val="1"/>
      <w:numFmt w:val="decimal"/>
      <w:lvlText w:val="%4."/>
      <w:lvlJc w:val="left"/>
      <w:pPr>
        <w:ind w:left="2520" w:hanging="360"/>
      </w:pPr>
    </w:lvl>
    <w:lvl w:ilvl="4" w:tplc="A74EE99A" w:tentative="1">
      <w:start w:val="1"/>
      <w:numFmt w:val="lowerLetter"/>
      <w:lvlText w:val="%5."/>
      <w:lvlJc w:val="left"/>
      <w:pPr>
        <w:ind w:left="3240" w:hanging="360"/>
      </w:pPr>
    </w:lvl>
    <w:lvl w:ilvl="5" w:tplc="700257A0" w:tentative="1">
      <w:start w:val="1"/>
      <w:numFmt w:val="lowerRoman"/>
      <w:lvlText w:val="%6."/>
      <w:lvlJc w:val="right"/>
      <w:pPr>
        <w:ind w:left="3960" w:hanging="180"/>
      </w:pPr>
    </w:lvl>
    <w:lvl w:ilvl="6" w:tplc="F3EE9B56" w:tentative="1">
      <w:start w:val="1"/>
      <w:numFmt w:val="decimal"/>
      <w:lvlText w:val="%7."/>
      <w:lvlJc w:val="left"/>
      <w:pPr>
        <w:ind w:left="4680" w:hanging="360"/>
      </w:pPr>
    </w:lvl>
    <w:lvl w:ilvl="7" w:tplc="D76860DE" w:tentative="1">
      <w:start w:val="1"/>
      <w:numFmt w:val="lowerLetter"/>
      <w:lvlText w:val="%8."/>
      <w:lvlJc w:val="left"/>
      <w:pPr>
        <w:ind w:left="5400" w:hanging="360"/>
      </w:pPr>
    </w:lvl>
    <w:lvl w:ilvl="8" w:tplc="8A42872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9922401">
    <w:abstractNumId w:val="1"/>
  </w:num>
  <w:num w:numId="2" w16cid:durableId="175651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56"/>
    <w:rsid w:val="001A7734"/>
    <w:rsid w:val="0028427E"/>
    <w:rsid w:val="00315675"/>
    <w:rsid w:val="0039690D"/>
    <w:rsid w:val="004D47AC"/>
    <w:rsid w:val="00507D91"/>
    <w:rsid w:val="00551F4D"/>
    <w:rsid w:val="00680F7A"/>
    <w:rsid w:val="006F276D"/>
    <w:rsid w:val="00776B11"/>
    <w:rsid w:val="00952AD3"/>
    <w:rsid w:val="009C502F"/>
    <w:rsid w:val="00B21656"/>
    <w:rsid w:val="00B81872"/>
    <w:rsid w:val="00BA04D2"/>
    <w:rsid w:val="00BF6327"/>
    <w:rsid w:val="00CA2F7B"/>
    <w:rsid w:val="00CF7E58"/>
    <w:rsid w:val="00D85F33"/>
    <w:rsid w:val="00EC4901"/>
    <w:rsid w:val="00F1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0FB51D1-40CF-4549-A81F-71CF9511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B21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B2165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B21656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customStyle="1" w:styleId="Sisennys">
    <w:name w:val="Sisennys"/>
    <w:basedOn w:val="Normaali"/>
    <w:rsid w:val="00B21656"/>
    <w:pPr>
      <w:widowControl w:val="0"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</w:tabs>
      <w:autoSpaceDE w:val="0"/>
      <w:autoSpaceDN w:val="0"/>
      <w:adjustRightInd w:val="0"/>
      <w:ind w:left="2608"/>
    </w:pPr>
    <w:rPr>
      <w:rFonts w:eastAsia="Calibri"/>
      <w:lang w:eastAsia="en-US"/>
    </w:rPr>
  </w:style>
  <w:style w:type="paragraph" w:customStyle="1" w:styleId="Sisennysx2">
    <w:name w:val="Sisennys x 2"/>
    <w:basedOn w:val="Sisennys"/>
    <w:rsid w:val="00B21656"/>
    <w:pPr>
      <w:tabs>
        <w:tab w:val="left" w:pos="12474"/>
      </w:tabs>
      <w:ind w:left="3912"/>
    </w:pPr>
  </w:style>
  <w:style w:type="paragraph" w:styleId="Alatunniste">
    <w:name w:val="footer"/>
    <w:basedOn w:val="Normaali"/>
    <w:link w:val="AlatunnisteChar"/>
    <w:uiPriority w:val="99"/>
    <w:unhideWhenUsed/>
    <w:rsid w:val="00D85F33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5F33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85F33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Mäkilä Enni</dc:creator>
  <cp:lastModifiedBy>Seppä Raija</cp:lastModifiedBy>
  <cp:revision>2</cp:revision>
  <cp:lastPrinted>2021-08-31T12:28:00Z</cp:lastPrinted>
  <dcterms:created xsi:type="dcterms:W3CDTF">2021-08-31T12:47:00Z</dcterms:created>
  <dcterms:modified xsi:type="dcterms:W3CDTF">2021-08-31T12:47:00Z</dcterms:modified>
</cp:coreProperties>
</file>